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B3DBE">
      <w:pPr>
        <w:spacing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年湖州师范</w:t>
      </w:r>
      <w:r>
        <w:rPr>
          <w:rFonts w:hint="eastAsia"/>
          <w:b/>
          <w:sz w:val="36"/>
          <w:szCs w:val="36"/>
          <w:lang w:val="en-US" w:eastAsia="zh-CN"/>
        </w:rPr>
        <w:t>大学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生命科学学院材料与化工</w:t>
      </w:r>
      <w:r>
        <w:rPr>
          <w:rFonts w:hint="eastAsia"/>
          <w:b/>
          <w:sz w:val="36"/>
          <w:szCs w:val="36"/>
        </w:rPr>
        <w:t>专业</w:t>
      </w:r>
    </w:p>
    <w:p w14:paraId="1B83F17A">
      <w:pPr>
        <w:spacing w:line="360" w:lineRule="auto"/>
        <w:jc w:val="center"/>
        <w:rPr>
          <w:sz w:val="24"/>
        </w:rPr>
      </w:pPr>
      <w:r>
        <w:rPr>
          <w:rFonts w:hint="eastAsia"/>
          <w:b/>
          <w:sz w:val="36"/>
          <w:szCs w:val="36"/>
          <w:lang w:val="en-US" w:eastAsia="zh-CN"/>
        </w:rPr>
        <w:t>硕士</w:t>
      </w:r>
      <w:r>
        <w:rPr>
          <w:rFonts w:hint="eastAsia"/>
          <w:b/>
          <w:sz w:val="36"/>
          <w:szCs w:val="36"/>
        </w:rPr>
        <w:t>研究生</w:t>
      </w:r>
      <w:r>
        <w:rPr>
          <w:rFonts w:hint="eastAsia"/>
          <w:b/>
          <w:sz w:val="36"/>
          <w:szCs w:val="36"/>
          <w:lang w:val="en-US" w:eastAsia="zh-CN"/>
        </w:rPr>
        <w:t>招生考试</w:t>
      </w:r>
      <w:r>
        <w:rPr>
          <w:rFonts w:hint="eastAsia"/>
          <w:sz w:val="24"/>
        </w:rPr>
        <w:t xml:space="preserve"> </w:t>
      </w:r>
    </w:p>
    <w:p w14:paraId="65559C30">
      <w:pPr>
        <w:pStyle w:val="7"/>
        <w:snapToGrid w:val="0"/>
        <w:spacing w:line="360" w:lineRule="auto"/>
        <w:ind w:left="0" w:firstLine="0"/>
        <w:jc w:val="center"/>
        <w:rPr>
          <w:bCs/>
          <w:sz w:val="24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《</w:t>
      </w:r>
      <w:r>
        <w:rPr>
          <w:rFonts w:hint="eastAsia" w:ascii="仿宋" w:hAnsi="仿宋" w:eastAsia="仿宋"/>
          <w:b/>
          <w:color w:val="000000"/>
          <w:sz w:val="36"/>
          <w:szCs w:val="36"/>
          <w:lang w:val="en-US" w:eastAsia="zh-CN"/>
        </w:rPr>
        <w:t>无机及分析化学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>》课程复试大纲</w:t>
      </w:r>
    </w:p>
    <w:p w14:paraId="15E3CEE3">
      <w:pPr>
        <w:spacing w:line="440" w:lineRule="exact"/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</w:rPr>
        <w:t>第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一</w:t>
      </w:r>
      <w:r>
        <w:rPr>
          <w:rFonts w:hint="default" w:ascii="Times New Roman" w:hAnsi="Times New Roman" w:cs="Times New Roman"/>
          <w:b/>
          <w:bCs/>
          <w:sz w:val="24"/>
        </w:rPr>
        <w:t xml:space="preserve">章 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化学中的溶液平衡</w:t>
      </w:r>
    </w:p>
    <w:p w14:paraId="5D9F2968">
      <w:pPr>
        <w:spacing w:line="440" w:lineRule="exac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一、酸碱平衡</w:t>
      </w:r>
    </w:p>
    <w:p w14:paraId="7B98C771">
      <w:pPr>
        <w:spacing w:line="440" w:lineRule="exac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酸碱电离理论；酸碱质子理论；酸碱平衡移动影响因素；酸碱指示剂作用原理；</w:t>
      </w:r>
    </w:p>
    <w:p w14:paraId="774F59C4">
      <w:pPr>
        <w:spacing w:line="440" w:lineRule="exac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酸碱指示剂变色范围及其影响因素；缓冲溶液</w:t>
      </w:r>
    </w:p>
    <w:p w14:paraId="62A1085D">
      <w:pPr>
        <w:spacing w:line="440" w:lineRule="exac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二、沉淀溶解平衡</w:t>
      </w:r>
    </w:p>
    <w:p w14:paraId="087FF5C1">
      <w:pPr>
        <w:spacing w:line="440" w:lineRule="exac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溶度积原理；沉淀溶解平衡移动影响因素；沉淀溶解的方法</w:t>
      </w:r>
    </w:p>
    <w:p w14:paraId="6E912CC6">
      <w:pPr>
        <w:spacing w:line="440" w:lineRule="exac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三、配位化合物在溶液中的解离平衡</w:t>
      </w:r>
    </w:p>
    <w:p w14:paraId="016E2492">
      <w:pPr>
        <w:spacing w:line="440" w:lineRule="exac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螯合物和普通配合物；逐级稳定常数和累级稳定常数；配合物的绝对稳定常数和条件稳定常数</w:t>
      </w:r>
    </w:p>
    <w:p w14:paraId="78B179E3">
      <w:pPr>
        <w:spacing w:line="440" w:lineRule="exac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四、氧化还原平衡</w:t>
      </w:r>
    </w:p>
    <w:p w14:paraId="1049BBCA">
      <w:pPr>
        <w:spacing w:line="440" w:lineRule="exac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电极电势；电极电势的应用；影响氧化还原反应速率的因素</w:t>
      </w:r>
    </w:p>
    <w:p w14:paraId="72CC7EC7">
      <w:pPr>
        <w:spacing w:line="440" w:lineRule="exact"/>
        <w:rPr>
          <w:rFonts w:hint="default" w:ascii="Times New Roman" w:hAnsi="Times New Roman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</w:rPr>
        <w:t>第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二</w:t>
      </w:r>
      <w:r>
        <w:rPr>
          <w:rFonts w:hint="default" w:ascii="Times New Roman" w:hAnsi="Times New Roman" w:cs="Times New Roman"/>
          <w:b/>
          <w:bCs/>
          <w:sz w:val="24"/>
        </w:rPr>
        <w:t xml:space="preserve">章 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定量分析基础</w:t>
      </w:r>
    </w:p>
    <w:p w14:paraId="6621D28C">
      <w:pPr>
        <w:spacing w:line="440" w:lineRule="exac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定量分析方法的分类；提高分析结果准确度的方法；基准物质；几个基本概念：滴定、化学计量点、指示剂、滴定终点等。</w:t>
      </w:r>
    </w:p>
    <w:p w14:paraId="6A234BC7">
      <w:pPr>
        <w:spacing w:line="440" w:lineRule="exact"/>
        <w:rPr>
          <w:rFonts w:hint="default" w:ascii="Times New Roman" w:hAnsi="Times New Roman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第三章 四大滴定</w:t>
      </w:r>
    </w:p>
    <w:p w14:paraId="37A47AE1">
      <w:pPr>
        <w:spacing w:line="440" w:lineRule="exac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一、酸碱滴定法</w:t>
      </w:r>
    </w:p>
    <w:p w14:paraId="01A41260">
      <w:pPr>
        <w:spacing w:line="440" w:lineRule="exac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酸碱滴定突越；指示剂选择原则；酸碱标准溶液的配制与标定；物质中氮元素的测定方法。</w:t>
      </w:r>
    </w:p>
    <w:p w14:paraId="7D59A434">
      <w:pPr>
        <w:spacing w:line="440" w:lineRule="exac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二、沉淀滴定法</w:t>
      </w:r>
    </w:p>
    <w:p w14:paraId="3676597E">
      <w:pPr>
        <w:spacing w:line="440" w:lineRule="exac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莫尔法和福尔哈德法的测定原理、滴定条件</w:t>
      </w:r>
    </w:p>
    <w:p w14:paraId="3CA3EA54">
      <w:pPr>
        <w:spacing w:line="440" w:lineRule="exac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三、氧化还原滴定法</w:t>
      </w:r>
    </w:p>
    <w:p w14:paraId="6E9756B5">
      <w:pPr>
        <w:spacing w:line="440" w:lineRule="exac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重铬酸钾法；高锰酸钾法；碘量法</w:t>
      </w:r>
    </w:p>
    <w:p w14:paraId="3F678178">
      <w:pPr>
        <w:spacing w:line="440" w:lineRule="exac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四、配位滴定法</w:t>
      </w:r>
    </w:p>
    <w:p w14:paraId="1C9EFD06">
      <w:pPr>
        <w:spacing w:line="440" w:lineRule="exac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EDTA的酸效应曲线；金属指示剂的变色原理、封闭现象和僵化现象；试样分析常用的掩蔽方法</w:t>
      </w:r>
    </w:p>
    <w:p w14:paraId="0895F8A4">
      <w:pPr>
        <w:pStyle w:val="23"/>
        <w:tabs>
          <w:tab w:val="left" w:pos="900"/>
          <w:tab w:val="left" w:pos="1080"/>
        </w:tabs>
        <w:spacing w:line="440" w:lineRule="exact"/>
        <w:ind w:left="0" w:leftChars="0" w:right="420" w:rightChars="200" w:firstLine="0" w:firstLineChars="0"/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第四章 分子光谱分析</w:t>
      </w:r>
    </w:p>
    <w:p w14:paraId="53EEECB6">
      <w:pPr>
        <w:spacing w:line="440" w:lineRule="exact"/>
        <w:outlineLvl w:val="0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吸收曲线；参比溶液的作用和选择原则；标准曲线法；红外定性分析依据</w:t>
      </w:r>
    </w:p>
    <w:p w14:paraId="21F0E2D8">
      <w:pPr>
        <w:spacing w:line="440" w:lineRule="exact"/>
        <w:outlineLvl w:val="0"/>
        <w:rPr>
          <w:rFonts w:hint="default" w:ascii="Times New Roman" w:hAnsi="Times New Roman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第五章 采样与试样预处理</w:t>
      </w:r>
    </w:p>
    <w:p w14:paraId="610CE723">
      <w:pPr>
        <w:pStyle w:val="23"/>
        <w:tabs>
          <w:tab w:val="left" w:pos="900"/>
          <w:tab w:val="left" w:pos="1080"/>
        </w:tabs>
        <w:spacing w:line="440" w:lineRule="exact"/>
        <w:ind w:left="0" w:leftChars="0" w:right="420" w:rightChars="200" w:firstLine="0" w:firstLineChars="0"/>
        <w:rPr>
          <w:rFonts w:hint="default" w:ascii="Times New Roman" w:hAnsi="Times New Roman" w:eastAsia="宋体" w:cs="Times New Roman"/>
          <w:b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分析化学中常用的分离方法</w:t>
      </w:r>
    </w:p>
    <w:p w14:paraId="5EE6116B">
      <w:pPr>
        <w:tabs>
          <w:tab w:val="left" w:pos="900"/>
          <w:tab w:val="left" w:pos="1080"/>
        </w:tabs>
        <w:adjustRightInd w:val="0"/>
        <w:snapToGrid w:val="0"/>
        <w:spacing w:before="156" w:beforeLines="50" w:line="440" w:lineRule="exac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【阅读书目与文献】</w:t>
      </w:r>
    </w:p>
    <w:p w14:paraId="5315A62C">
      <w:pPr>
        <w:tabs>
          <w:tab w:val="left" w:pos="900"/>
          <w:tab w:val="left" w:pos="1080"/>
        </w:tabs>
        <w:spacing w:line="440" w:lineRule="exact"/>
        <w:ind w:right="420" w:rightChars="200"/>
        <w:rPr>
          <w:rFonts w:hint="default" w:ascii="Times New Roman" w:hAnsi="Times New Roman" w:eastAsia="仿宋" w:cs="Times New Roman"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《</w:t>
      </w:r>
      <w:r>
        <w:rPr>
          <w:rFonts w:hint="default" w:ascii="Times New Roman" w:hAnsi="Times New Roman" w:cs="Times New Roman"/>
          <w:sz w:val="24"/>
          <w:lang w:val="en-US" w:eastAsia="zh-CN"/>
        </w:rPr>
        <w:t>无机及分析</w:t>
      </w:r>
      <w:r>
        <w:rPr>
          <w:rFonts w:hint="default" w:ascii="Times New Roman" w:hAnsi="Times New Roman" w:cs="Times New Roman"/>
          <w:sz w:val="24"/>
        </w:rPr>
        <w:t>化学（第</w:t>
      </w:r>
      <w:r>
        <w:rPr>
          <w:rFonts w:hint="default" w:ascii="Times New Roman" w:hAnsi="Times New Roman" w:cs="Times New Roman"/>
          <w:sz w:val="24"/>
          <w:lang w:val="en-US" w:eastAsia="zh-CN"/>
        </w:rPr>
        <w:t>三</w:t>
      </w:r>
      <w:r>
        <w:rPr>
          <w:rFonts w:hint="default" w:ascii="Times New Roman" w:hAnsi="Times New Roman" w:cs="Times New Roman"/>
          <w:sz w:val="24"/>
        </w:rPr>
        <w:t>版）》，</w:t>
      </w:r>
      <w:r>
        <w:rPr>
          <w:rFonts w:hint="default" w:ascii="Times New Roman" w:hAnsi="Times New Roman" w:cs="Times New Roman"/>
          <w:sz w:val="24"/>
          <w:lang w:val="en-US" w:eastAsia="zh-CN"/>
        </w:rPr>
        <w:t>浙江大学</w:t>
      </w:r>
      <w:r>
        <w:rPr>
          <w:rFonts w:hint="default" w:ascii="Times New Roman" w:hAnsi="Times New Roman" w:cs="Times New Roman"/>
          <w:color w:val="auto"/>
          <w:sz w:val="24"/>
        </w:rPr>
        <w:t>主编，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高等教育</w:t>
      </w:r>
      <w:r>
        <w:rPr>
          <w:rFonts w:hint="default" w:ascii="Times New Roman" w:hAnsi="Times New Roman" w:cs="Times New Roman"/>
          <w:color w:val="auto"/>
          <w:sz w:val="24"/>
        </w:rPr>
        <w:t>出版社，201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9</w:t>
      </w:r>
      <w:r>
        <w:rPr>
          <w:rFonts w:hint="default" w:ascii="Times New Roman" w:hAnsi="Times New Roman" w:cs="Times New Roman"/>
          <w:color w:val="auto"/>
          <w:sz w:val="24"/>
        </w:rPr>
        <w:t>。</w:t>
      </w:r>
    </w:p>
    <w:p w14:paraId="081D5A40">
      <w:pPr>
        <w:tabs>
          <w:tab w:val="left" w:pos="900"/>
          <w:tab w:val="left" w:pos="1080"/>
        </w:tabs>
        <w:spacing w:line="440" w:lineRule="exact"/>
        <w:ind w:right="420" w:rightChars="200"/>
        <w:rPr>
          <w:rFonts w:hint="default" w:ascii="仿宋" w:hAnsi="仿宋" w:eastAsia="仿宋"/>
          <w:color w:val="000000"/>
          <w:sz w:val="24"/>
          <w:lang w:val="en-US" w:eastAsia="zh-CN"/>
        </w:rPr>
      </w:pPr>
    </w:p>
    <w:sectPr>
      <w:head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AF59B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EwNbQ0srQwNDAztTBW0lEKTi0uzszPAykwqgUAxkn0iiwAAAA="/>
    <w:docVar w:name="commondata" w:val="eyJoZGlkIjoiMDNiMzhlNTBjNzI1OTdjZmJjNDNjMzM3NTkxOGE4ZmUifQ=="/>
  </w:docVars>
  <w:rsids>
    <w:rsidRoot w:val="003526F5"/>
    <w:rsid w:val="00014F2E"/>
    <w:rsid w:val="000215E1"/>
    <w:rsid w:val="00027F4F"/>
    <w:rsid w:val="00042E4C"/>
    <w:rsid w:val="00042E9F"/>
    <w:rsid w:val="000458DA"/>
    <w:rsid w:val="00070A99"/>
    <w:rsid w:val="000938C7"/>
    <w:rsid w:val="001022DC"/>
    <w:rsid w:val="00107176"/>
    <w:rsid w:val="001102B4"/>
    <w:rsid w:val="00111F80"/>
    <w:rsid w:val="0011725A"/>
    <w:rsid w:val="00123A8D"/>
    <w:rsid w:val="00127AAD"/>
    <w:rsid w:val="0014719C"/>
    <w:rsid w:val="00156738"/>
    <w:rsid w:val="0016619B"/>
    <w:rsid w:val="00171842"/>
    <w:rsid w:val="00175D1A"/>
    <w:rsid w:val="001853DC"/>
    <w:rsid w:val="00190288"/>
    <w:rsid w:val="001937EF"/>
    <w:rsid w:val="00194A7C"/>
    <w:rsid w:val="00196CC7"/>
    <w:rsid w:val="001A05B7"/>
    <w:rsid w:val="001A0D21"/>
    <w:rsid w:val="001C0EC4"/>
    <w:rsid w:val="001E455D"/>
    <w:rsid w:val="00206457"/>
    <w:rsid w:val="00210945"/>
    <w:rsid w:val="00247C49"/>
    <w:rsid w:val="00250837"/>
    <w:rsid w:val="00256913"/>
    <w:rsid w:val="00265C9D"/>
    <w:rsid w:val="002B4160"/>
    <w:rsid w:val="002D1CFB"/>
    <w:rsid w:val="002F1197"/>
    <w:rsid w:val="00310467"/>
    <w:rsid w:val="003159C7"/>
    <w:rsid w:val="003279C8"/>
    <w:rsid w:val="0035128F"/>
    <w:rsid w:val="003526F5"/>
    <w:rsid w:val="00360829"/>
    <w:rsid w:val="003863A5"/>
    <w:rsid w:val="003A106B"/>
    <w:rsid w:val="003C0132"/>
    <w:rsid w:val="003D2335"/>
    <w:rsid w:val="003D2823"/>
    <w:rsid w:val="003F468E"/>
    <w:rsid w:val="003F46CB"/>
    <w:rsid w:val="00406F3B"/>
    <w:rsid w:val="004432E9"/>
    <w:rsid w:val="004478DC"/>
    <w:rsid w:val="00462C7E"/>
    <w:rsid w:val="00486085"/>
    <w:rsid w:val="00495B33"/>
    <w:rsid w:val="004B5369"/>
    <w:rsid w:val="004F14B2"/>
    <w:rsid w:val="004F59E7"/>
    <w:rsid w:val="00505B00"/>
    <w:rsid w:val="00510F71"/>
    <w:rsid w:val="00516BCF"/>
    <w:rsid w:val="00522359"/>
    <w:rsid w:val="00547CAD"/>
    <w:rsid w:val="00557DD2"/>
    <w:rsid w:val="00577D72"/>
    <w:rsid w:val="00587280"/>
    <w:rsid w:val="00591C3B"/>
    <w:rsid w:val="005943A8"/>
    <w:rsid w:val="005A6391"/>
    <w:rsid w:val="005B6E68"/>
    <w:rsid w:val="005E2B92"/>
    <w:rsid w:val="00604626"/>
    <w:rsid w:val="006246ED"/>
    <w:rsid w:val="0062561D"/>
    <w:rsid w:val="006316A8"/>
    <w:rsid w:val="00662F81"/>
    <w:rsid w:val="0067063C"/>
    <w:rsid w:val="00670F3C"/>
    <w:rsid w:val="00696B10"/>
    <w:rsid w:val="00696CDC"/>
    <w:rsid w:val="006B2776"/>
    <w:rsid w:val="006D069F"/>
    <w:rsid w:val="006D6AA5"/>
    <w:rsid w:val="006E1F45"/>
    <w:rsid w:val="006F0E45"/>
    <w:rsid w:val="006F4E17"/>
    <w:rsid w:val="007036C9"/>
    <w:rsid w:val="007049F4"/>
    <w:rsid w:val="00707781"/>
    <w:rsid w:val="00711846"/>
    <w:rsid w:val="00712D6E"/>
    <w:rsid w:val="00716862"/>
    <w:rsid w:val="0071795C"/>
    <w:rsid w:val="00721C8D"/>
    <w:rsid w:val="00746BF8"/>
    <w:rsid w:val="00750ADB"/>
    <w:rsid w:val="00756756"/>
    <w:rsid w:val="0077150D"/>
    <w:rsid w:val="0077470F"/>
    <w:rsid w:val="00774D55"/>
    <w:rsid w:val="00787349"/>
    <w:rsid w:val="00792045"/>
    <w:rsid w:val="0079770A"/>
    <w:rsid w:val="007B0D98"/>
    <w:rsid w:val="007B1C4E"/>
    <w:rsid w:val="007B25DC"/>
    <w:rsid w:val="007F486D"/>
    <w:rsid w:val="0080548F"/>
    <w:rsid w:val="00806028"/>
    <w:rsid w:val="00814A41"/>
    <w:rsid w:val="00815F58"/>
    <w:rsid w:val="00820E7B"/>
    <w:rsid w:val="0086013B"/>
    <w:rsid w:val="008D1AE7"/>
    <w:rsid w:val="008D66CB"/>
    <w:rsid w:val="008E32C9"/>
    <w:rsid w:val="008E59AC"/>
    <w:rsid w:val="008F09AD"/>
    <w:rsid w:val="008F4A70"/>
    <w:rsid w:val="0090382A"/>
    <w:rsid w:val="00934C92"/>
    <w:rsid w:val="00936B25"/>
    <w:rsid w:val="009656E7"/>
    <w:rsid w:val="00994FED"/>
    <w:rsid w:val="009A7BD5"/>
    <w:rsid w:val="009C0520"/>
    <w:rsid w:val="009C1E43"/>
    <w:rsid w:val="009C2706"/>
    <w:rsid w:val="009E4103"/>
    <w:rsid w:val="009F6EF4"/>
    <w:rsid w:val="00A0297B"/>
    <w:rsid w:val="00A133C1"/>
    <w:rsid w:val="00A152A8"/>
    <w:rsid w:val="00A33BD7"/>
    <w:rsid w:val="00A423EB"/>
    <w:rsid w:val="00A66E7C"/>
    <w:rsid w:val="00A809EC"/>
    <w:rsid w:val="00AD194C"/>
    <w:rsid w:val="00AD3001"/>
    <w:rsid w:val="00AE2621"/>
    <w:rsid w:val="00AE5EEE"/>
    <w:rsid w:val="00AF005F"/>
    <w:rsid w:val="00B22216"/>
    <w:rsid w:val="00B24617"/>
    <w:rsid w:val="00B35886"/>
    <w:rsid w:val="00B36BBA"/>
    <w:rsid w:val="00B536A0"/>
    <w:rsid w:val="00B6065F"/>
    <w:rsid w:val="00B67056"/>
    <w:rsid w:val="00BB5B5D"/>
    <w:rsid w:val="00BC042D"/>
    <w:rsid w:val="00C24051"/>
    <w:rsid w:val="00C4423E"/>
    <w:rsid w:val="00C479C4"/>
    <w:rsid w:val="00C54F8F"/>
    <w:rsid w:val="00C57C0D"/>
    <w:rsid w:val="00C61A88"/>
    <w:rsid w:val="00C62E53"/>
    <w:rsid w:val="00C72BA8"/>
    <w:rsid w:val="00C900E0"/>
    <w:rsid w:val="00CB1DC4"/>
    <w:rsid w:val="00CD596D"/>
    <w:rsid w:val="00CE13C6"/>
    <w:rsid w:val="00CE2D77"/>
    <w:rsid w:val="00CE2E3F"/>
    <w:rsid w:val="00CE7407"/>
    <w:rsid w:val="00CF25F9"/>
    <w:rsid w:val="00D017B5"/>
    <w:rsid w:val="00D37B68"/>
    <w:rsid w:val="00D5204D"/>
    <w:rsid w:val="00D72217"/>
    <w:rsid w:val="00D903B6"/>
    <w:rsid w:val="00D92F81"/>
    <w:rsid w:val="00DB3D22"/>
    <w:rsid w:val="00DC0E20"/>
    <w:rsid w:val="00DC3ECF"/>
    <w:rsid w:val="00DD697E"/>
    <w:rsid w:val="00E22598"/>
    <w:rsid w:val="00E670F1"/>
    <w:rsid w:val="00E71F34"/>
    <w:rsid w:val="00E73FB8"/>
    <w:rsid w:val="00EA39C6"/>
    <w:rsid w:val="00EE4BB8"/>
    <w:rsid w:val="00F06B37"/>
    <w:rsid w:val="00F1291A"/>
    <w:rsid w:val="00F16814"/>
    <w:rsid w:val="00F25A30"/>
    <w:rsid w:val="00F25CF3"/>
    <w:rsid w:val="00F347E7"/>
    <w:rsid w:val="00F34FCC"/>
    <w:rsid w:val="00F41E0D"/>
    <w:rsid w:val="00F46123"/>
    <w:rsid w:val="00F57CD6"/>
    <w:rsid w:val="00F6671D"/>
    <w:rsid w:val="00F67941"/>
    <w:rsid w:val="00F7078D"/>
    <w:rsid w:val="00F75940"/>
    <w:rsid w:val="00F76B31"/>
    <w:rsid w:val="00F93D9F"/>
    <w:rsid w:val="00F964A4"/>
    <w:rsid w:val="00FA1184"/>
    <w:rsid w:val="00FA41AB"/>
    <w:rsid w:val="00FA69BD"/>
    <w:rsid w:val="00FB691F"/>
    <w:rsid w:val="00FD0242"/>
    <w:rsid w:val="00FD1A68"/>
    <w:rsid w:val="00FF0AB5"/>
    <w:rsid w:val="00FF1CCF"/>
    <w:rsid w:val="017C5ED4"/>
    <w:rsid w:val="01891B53"/>
    <w:rsid w:val="08765638"/>
    <w:rsid w:val="08EC45EA"/>
    <w:rsid w:val="090F7455"/>
    <w:rsid w:val="09337990"/>
    <w:rsid w:val="0B187AA4"/>
    <w:rsid w:val="0E95105F"/>
    <w:rsid w:val="0EFE0DC0"/>
    <w:rsid w:val="11DF7A01"/>
    <w:rsid w:val="12D63929"/>
    <w:rsid w:val="130A23C8"/>
    <w:rsid w:val="16330B0C"/>
    <w:rsid w:val="1B565E16"/>
    <w:rsid w:val="1C225972"/>
    <w:rsid w:val="1CD5086B"/>
    <w:rsid w:val="1DA41316"/>
    <w:rsid w:val="1FED3925"/>
    <w:rsid w:val="21AD0FBD"/>
    <w:rsid w:val="2492221D"/>
    <w:rsid w:val="24AD0136"/>
    <w:rsid w:val="27B07632"/>
    <w:rsid w:val="28B12E00"/>
    <w:rsid w:val="28CF3A40"/>
    <w:rsid w:val="2EF450A0"/>
    <w:rsid w:val="2FA57A21"/>
    <w:rsid w:val="32384404"/>
    <w:rsid w:val="33A62A4D"/>
    <w:rsid w:val="37C5537C"/>
    <w:rsid w:val="3AD2116E"/>
    <w:rsid w:val="3CF505D5"/>
    <w:rsid w:val="3D2C07E6"/>
    <w:rsid w:val="3DB4786D"/>
    <w:rsid w:val="3E056A88"/>
    <w:rsid w:val="40395B1F"/>
    <w:rsid w:val="41080CCE"/>
    <w:rsid w:val="425A2EAE"/>
    <w:rsid w:val="46EF74AE"/>
    <w:rsid w:val="4AFB5633"/>
    <w:rsid w:val="4E911D08"/>
    <w:rsid w:val="51282C6F"/>
    <w:rsid w:val="538C62BA"/>
    <w:rsid w:val="53E64EFE"/>
    <w:rsid w:val="54F41D0A"/>
    <w:rsid w:val="55953D85"/>
    <w:rsid w:val="55BC06DF"/>
    <w:rsid w:val="56AC0B80"/>
    <w:rsid w:val="57A77834"/>
    <w:rsid w:val="5D530D4D"/>
    <w:rsid w:val="5DCE4953"/>
    <w:rsid w:val="60D25F83"/>
    <w:rsid w:val="62E406D1"/>
    <w:rsid w:val="63380573"/>
    <w:rsid w:val="63AB0706"/>
    <w:rsid w:val="65A97711"/>
    <w:rsid w:val="67144738"/>
    <w:rsid w:val="67922420"/>
    <w:rsid w:val="699B6A4B"/>
    <w:rsid w:val="69C31E42"/>
    <w:rsid w:val="6BFB7C75"/>
    <w:rsid w:val="6DA82B96"/>
    <w:rsid w:val="70D31D71"/>
    <w:rsid w:val="72F45657"/>
    <w:rsid w:val="73702427"/>
    <w:rsid w:val="73C30CB4"/>
    <w:rsid w:val="740979E3"/>
    <w:rsid w:val="74D811FD"/>
    <w:rsid w:val="754B7577"/>
    <w:rsid w:val="756E1082"/>
    <w:rsid w:val="76BD6253"/>
    <w:rsid w:val="76CE0460"/>
    <w:rsid w:val="76E12691"/>
    <w:rsid w:val="776911AB"/>
    <w:rsid w:val="77F56AB3"/>
    <w:rsid w:val="7859644F"/>
    <w:rsid w:val="78F60CD3"/>
    <w:rsid w:val="7A1D3911"/>
    <w:rsid w:val="D5FD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240" w:after="120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outlineLvl w:val="1"/>
    </w:pPr>
    <w:rPr>
      <w:rFonts w:asciiTheme="majorHAnsi" w:hAnsiTheme="majorHAnsi" w:eastAsiaTheme="minorEastAsia" w:cstheme="majorBidi"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17"/>
    <w:qFormat/>
    <w:uiPriority w:val="99"/>
    <w:pPr>
      <w:spacing w:after="120"/>
    </w:pPr>
  </w:style>
  <w:style w:type="paragraph" w:styleId="6">
    <w:name w:val="Body Text Indent"/>
    <w:basedOn w:val="1"/>
    <w:link w:val="18"/>
    <w:qFormat/>
    <w:uiPriority w:val="99"/>
    <w:pPr>
      <w:spacing w:line="360" w:lineRule="auto"/>
      <w:ind w:firstLine="480" w:firstLineChars="200"/>
    </w:pPr>
    <w:rPr>
      <w:rFonts w:ascii="宋体" w:hAnsi="华文中宋"/>
      <w:sz w:val="24"/>
    </w:rPr>
  </w:style>
  <w:style w:type="paragraph" w:styleId="7">
    <w:name w:val="List 2"/>
    <w:basedOn w:val="1"/>
    <w:qFormat/>
    <w:uiPriority w:val="0"/>
    <w:pPr>
      <w:ind w:left="840" w:hanging="420"/>
    </w:pPr>
    <w:rPr>
      <w:szCs w:val="20"/>
    </w:rPr>
  </w:style>
  <w:style w:type="paragraph" w:styleId="8">
    <w:name w:val="Date"/>
    <w:basedOn w:val="1"/>
    <w:next w:val="1"/>
    <w:link w:val="19"/>
    <w:qFormat/>
    <w:uiPriority w:val="99"/>
    <w:pPr>
      <w:ind w:left="2500" w:leftChars="2500"/>
    </w:pPr>
    <w:rPr>
      <w:rFonts w:ascii="宋体" w:hAnsi="宋体"/>
      <w:sz w:val="28"/>
    </w:rPr>
  </w:style>
  <w:style w:type="paragraph" w:styleId="9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 字符"/>
    <w:basedOn w:val="14"/>
    <w:link w:val="5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8">
    <w:name w:val="正文文本缩进 字符"/>
    <w:basedOn w:val="14"/>
    <w:link w:val="6"/>
    <w:qFormat/>
    <w:locked/>
    <w:uiPriority w:val="99"/>
    <w:rPr>
      <w:rFonts w:ascii="宋体" w:hAnsi="华文中宋" w:eastAsia="宋体" w:cs="Times New Roman"/>
      <w:sz w:val="24"/>
      <w:szCs w:val="24"/>
    </w:rPr>
  </w:style>
  <w:style w:type="character" w:customStyle="1" w:styleId="19">
    <w:name w:val="日期 字符"/>
    <w:basedOn w:val="14"/>
    <w:link w:val="8"/>
    <w:qFormat/>
    <w:locked/>
    <w:uiPriority w:val="99"/>
    <w:rPr>
      <w:rFonts w:ascii="宋体" w:hAnsi="宋体" w:eastAsia="宋体" w:cs="Times New Roman"/>
      <w:sz w:val="24"/>
      <w:szCs w:val="24"/>
    </w:rPr>
  </w:style>
  <w:style w:type="character" w:customStyle="1" w:styleId="20">
    <w:name w:val="页脚 字符"/>
    <w:basedOn w:val="14"/>
    <w:link w:val="10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字符"/>
    <w:basedOn w:val="14"/>
    <w:link w:val="11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4">
    <w:name w:val="批注文字 字符"/>
    <w:basedOn w:val="14"/>
    <w:link w:val="4"/>
    <w:semiHidden/>
    <w:qFormat/>
    <w:uiPriority w:val="99"/>
    <w:rPr>
      <w:kern w:val="2"/>
      <w:sz w:val="21"/>
      <w:szCs w:val="24"/>
    </w:rPr>
  </w:style>
  <w:style w:type="character" w:customStyle="1" w:styleId="25">
    <w:name w:val="批注主题 字符"/>
    <w:basedOn w:val="24"/>
    <w:link w:val="12"/>
    <w:semiHidden/>
    <w:qFormat/>
    <w:uiPriority w:val="99"/>
    <w:rPr>
      <w:b/>
      <w:bCs/>
      <w:kern w:val="2"/>
      <w:sz w:val="21"/>
      <w:szCs w:val="24"/>
    </w:rPr>
  </w:style>
  <w:style w:type="paragraph" w:customStyle="1" w:styleId="26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框文本 字符"/>
    <w:basedOn w:val="14"/>
    <w:link w:val="9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555</Words>
  <Characters>564</Characters>
  <Lines>23</Lines>
  <Paragraphs>41</Paragraphs>
  <TotalTime>0</TotalTime>
  <ScaleCrop>false</ScaleCrop>
  <LinksUpToDate>false</LinksUpToDate>
  <CharactersWithSpaces>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2024-03-14T01:06:00Z</dcterms:created>
  <dc:creator>sy</dc:creator>
  <cp:lastModifiedBy>生姜</cp:lastModifiedBy>
  <cp:lastPrinted>2016-07-06T00:15:00Z</cp:lastPrinted>
  <dcterms:modified xsi:type="dcterms:W3CDTF">2026-03-16T07:58:02Z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25CC44213E90431D8774C71F9691836C</vt:lpwstr>
  </property>
  <property fmtid="{D5CDD505-2E9C-101B-9397-08002B2CF9AE}" pid="4" name="KSOTemplateDocerSaveRecord">
    <vt:lpwstr>eyJoZGlkIjoiMDNiMzhlNTBjNzI1OTdjZmJjNDNjMzM3NTkxOGE4ZmUiLCJ1c2VySWQiOiI0MDIwNzg0NTkifQ==</vt:lpwstr>
  </property>
  <property fmtid="{D5CDD505-2E9C-101B-9397-08002B2CF9AE}" pid="5" name="GrammarlyDocumentId">
    <vt:lpwstr>b3e97e185cf7496db5febb8fa9de9c27ceb73099d4ec32eb2d63cb4964bb811e</vt:lpwstr>
  </property>
</Properties>
</file>